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000000"/>
          <w:sz w:val="20"/>
          <w:szCs w:val="20"/>
          <w:highlight w:val="lightGray"/>
        </w:rPr>
      </w:pPr>
      <w:r w:rsidDel="00000000" w:rsidR="00000000" w:rsidRPr="00000000">
        <w:rPr>
          <w:rtl w:val="0"/>
        </w:rPr>
      </w:r>
    </w:p>
    <w:p w:rsidR="00000000" w:rsidDel="00000000" w:rsidP="00000000" w:rsidRDefault="00000000" w:rsidRPr="00000000" w14:paraId="00000002">
      <w:pPr>
        <w:keepNext w:val="1"/>
        <w:keepLines w:val="1"/>
        <w:spacing w:after="120" w:line="240" w:lineRule="auto"/>
        <w:rPr>
          <w:rFonts w:ascii="Arial" w:cs="Arial" w:eastAsia="Arial" w:hAnsi="Arial"/>
          <w:b w:val="1"/>
          <w:color w:val="5292c9"/>
          <w:sz w:val="28"/>
          <w:szCs w:val="28"/>
        </w:rPr>
      </w:pPr>
      <w:r w:rsidDel="00000000" w:rsidR="00000000" w:rsidRPr="00000000">
        <w:rPr>
          <w:rFonts w:ascii="Arial" w:cs="Arial" w:eastAsia="Arial" w:hAnsi="Arial"/>
          <w:b w:val="1"/>
          <w:color w:val="5292c9"/>
          <w:sz w:val="28"/>
          <w:szCs w:val="28"/>
          <w:rtl w:val="0"/>
        </w:rPr>
        <w:t xml:space="preserve">Notice for eSourcing Tender</w:t>
      </w:r>
    </w:p>
    <w:p w:rsidR="00000000" w:rsidDel="00000000" w:rsidP="00000000" w:rsidRDefault="00000000" w:rsidRPr="00000000" w14:paraId="00000003">
      <w:pPr>
        <w:pStyle w:val="Head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pStyle w:val="Heading2"/>
        <w:rPr>
          <w:b w:val="0"/>
        </w:rPr>
      </w:pPr>
      <w:r w:rsidDel="00000000" w:rsidR="00000000" w:rsidRPr="00000000">
        <w:rPr>
          <w:rFonts w:ascii="Arial" w:cs="Arial" w:eastAsia="Arial" w:hAnsi="Arial"/>
          <w:color w:val="000000"/>
          <w:sz w:val="20"/>
          <w:szCs w:val="20"/>
          <w:rtl w:val="0"/>
        </w:rPr>
        <w:t xml:space="preserve">Tender reference number: </w:t>
      </w:r>
      <w:r w:rsidDel="00000000" w:rsidR="00000000" w:rsidRPr="00000000">
        <w:rPr>
          <w:rFonts w:ascii="Arial" w:cs="Arial" w:eastAsia="Arial" w:hAnsi="Arial"/>
          <w:sz w:val="20"/>
          <w:szCs w:val="20"/>
          <w:rtl w:val="0"/>
        </w:rPr>
        <w:t xml:space="preserve">RFQ/2021/25062</w:t>
      </w:r>
      <w:r w:rsidDel="00000000" w:rsidR="00000000" w:rsidRPr="00000000">
        <w:rPr>
          <w:rtl w:val="0"/>
        </w:rPr>
      </w:r>
    </w:p>
    <w:p w:rsidR="00000000" w:rsidDel="00000000" w:rsidP="00000000" w:rsidRDefault="00000000" w:rsidRPr="00000000" w14:paraId="00000005">
      <w:pPr>
        <w:pStyle w:val="Heading2"/>
        <w:spacing w:after="280" w:before="280" w:lineRule="auto"/>
        <w:ind w:left="1440" w:hanging="1440"/>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Tender title: </w:t>
        <w:tab/>
      </w:r>
      <w:r w:rsidDel="00000000" w:rsidR="00000000" w:rsidRPr="00000000">
        <w:rPr>
          <w:rFonts w:ascii="Arial" w:cs="Arial" w:eastAsia="Arial" w:hAnsi="Arial"/>
          <w:b w:val="0"/>
          <w:sz w:val="20"/>
          <w:szCs w:val="20"/>
          <w:rtl w:val="0"/>
        </w:rPr>
        <w:t xml:space="preserve">Purchase of IT and AV equipment for Media outlets</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Beneficiary country: </w:t>
      </w:r>
      <w:r w:rsidDel="00000000" w:rsidR="00000000" w:rsidRPr="00000000">
        <w:rPr>
          <w:rFonts w:ascii="Arial" w:cs="Arial" w:eastAsia="Arial" w:hAnsi="Arial"/>
          <w:sz w:val="20"/>
          <w:szCs w:val="20"/>
          <w:rtl w:val="0"/>
        </w:rPr>
        <w:t xml:space="preserve">Serbia</w:t>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Style w:val="Heading2"/>
        <w:spacing w:after="0" w:before="0" w:lineRule="auto"/>
        <w:rPr>
          <w:rFonts w:ascii="Arial" w:cs="Arial" w:eastAsia="Arial" w:hAnsi="Arial"/>
          <w:b w:val="0"/>
          <w:color w:val="000000"/>
          <w:sz w:val="20"/>
          <w:szCs w:val="20"/>
        </w:rPr>
      </w:pPr>
      <w:r w:rsidDel="00000000" w:rsidR="00000000" w:rsidRPr="00000000">
        <w:rPr>
          <w:rFonts w:ascii="Arial" w:cs="Arial" w:eastAsia="Arial" w:hAnsi="Arial"/>
          <w:sz w:val="20"/>
          <w:szCs w:val="20"/>
          <w:rtl w:val="0"/>
        </w:rPr>
        <w:t xml:space="preserve">Description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0"/>
          <w:color w:val="000000"/>
          <w:sz w:val="20"/>
          <w:szCs w:val="20"/>
          <w:rtl w:val="0"/>
        </w:rPr>
        <w:t xml:space="preserve">This RFQ refers to </w:t>
      </w:r>
      <w:r w:rsidDel="00000000" w:rsidR="00000000" w:rsidRPr="00000000">
        <w:rPr>
          <w:rFonts w:ascii="Arial" w:cs="Arial" w:eastAsia="Arial" w:hAnsi="Arial"/>
          <w:b w:val="0"/>
          <w:sz w:val="20"/>
          <w:szCs w:val="20"/>
          <w:rtl w:val="0"/>
        </w:rPr>
        <w:t xml:space="preserve">Purchase of IT and AV equipment for Media outlets (UNOPS-EUPORPlus-2021-G-008)</w:t>
      </w:r>
      <w:r w:rsidDel="00000000" w:rsidR="00000000" w:rsidRPr="00000000">
        <w:rPr>
          <w:rtl w:val="0"/>
        </w:rPr>
      </w:r>
    </w:p>
    <w:p w:rsidR="00000000" w:rsidDel="00000000" w:rsidP="00000000" w:rsidRDefault="00000000" w:rsidRPr="00000000" w14:paraId="00000009">
      <w:pPr>
        <w:pStyle w:val="Heading2"/>
        <w:spacing w:after="0" w:before="0" w:lineRule="auto"/>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i w:val="1"/>
          <w:color w:val="ff0000"/>
          <w:sz w:val="20"/>
          <w:szCs w:val="20"/>
        </w:rPr>
      </w:pPr>
      <w:r w:rsidDel="00000000" w:rsidR="00000000" w:rsidRPr="00000000">
        <w:rPr>
          <w:rFonts w:ascii="Arial" w:cs="Arial" w:eastAsia="Arial" w:hAnsi="Arial"/>
          <w:b w:val="1"/>
          <w:sz w:val="20"/>
          <w:szCs w:val="20"/>
          <w:rtl w:val="0"/>
        </w:rPr>
        <w:t xml:space="preserve">Deadline date submission of bids: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highlight w:val="cyan"/>
          <w:rtl w:val="0"/>
        </w:rPr>
        <w:t xml:space="preserve">18 August  2021</w:t>
      </w:r>
      <w:r w:rsidDel="00000000" w:rsidR="00000000" w:rsidRPr="00000000">
        <w:rPr>
          <w:rFonts w:ascii="Arial" w:cs="Arial" w:eastAsia="Arial" w:hAnsi="Arial"/>
          <w:b w:val="1"/>
          <w:color w:val="000000"/>
          <w:sz w:val="20"/>
          <w:szCs w:val="20"/>
          <w:highlight w:val="cyan"/>
          <w:rtl w:val="0"/>
        </w:rPr>
        <w:t xml:space="preserve">, 12:00 CET noon</w:t>
      </w:r>
      <w:r w:rsidDel="00000000" w:rsidR="00000000" w:rsidRPr="00000000">
        <w:rPr>
          <w:rFonts w:ascii="Arial" w:cs="Arial" w:eastAsia="Arial" w:hAnsi="Arial"/>
          <w:color w:val="000000"/>
          <w:sz w:val="20"/>
          <w:szCs w:val="20"/>
          <w:rtl w:val="0"/>
        </w:rPr>
        <w:t xml:space="preserve"> (1</w:t>
      </w:r>
      <w:r w:rsidDel="00000000" w:rsidR="00000000" w:rsidRPr="00000000">
        <w:rPr>
          <w:rFonts w:ascii="Arial" w:cs="Arial" w:eastAsia="Arial" w:hAnsi="Arial"/>
          <w:sz w:val="20"/>
          <w:szCs w:val="20"/>
          <w:rtl w:val="0"/>
        </w:rPr>
        <w:t xml:space="preserve">0</w:t>
      </w:r>
      <w:r w:rsidDel="00000000" w:rsidR="00000000" w:rsidRPr="00000000">
        <w:rPr>
          <w:rFonts w:ascii="Arial" w:cs="Arial" w:eastAsia="Arial" w:hAnsi="Arial"/>
          <w:color w:val="000000"/>
          <w:sz w:val="20"/>
          <w:szCs w:val="20"/>
          <w:rtl w:val="0"/>
        </w:rPr>
        <w:t xml:space="preserve">:00 UTC)</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i w:val="1"/>
          <w:color w:val="ff0000"/>
          <w:sz w:val="20"/>
          <w:szCs w:val="20"/>
          <w:highlight w:val="yellow"/>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Posting date:</w:t>
      </w:r>
      <w:r w:rsidDel="00000000" w:rsidR="00000000" w:rsidRPr="00000000">
        <w:rPr>
          <w:rtl w:val="0"/>
        </w:rPr>
        <w:t xml:space="preserve"> </w:t>
      </w:r>
      <w:r w:rsidDel="00000000" w:rsidR="00000000" w:rsidRPr="00000000">
        <w:rPr>
          <w:rFonts w:ascii="Arial" w:cs="Arial" w:eastAsia="Arial" w:hAnsi="Arial"/>
          <w:sz w:val="20"/>
          <w:szCs w:val="20"/>
          <w:rtl w:val="0"/>
        </w:rPr>
        <w:t xml:space="preserve"> 02 August </w:t>
      </w:r>
      <w:r w:rsidDel="00000000" w:rsidR="00000000" w:rsidRPr="00000000">
        <w:rPr>
          <w:rFonts w:ascii="Arial" w:cs="Arial" w:eastAsia="Arial" w:hAnsi="Arial"/>
          <w:color w:val="000000"/>
          <w:sz w:val="20"/>
          <w:szCs w:val="20"/>
          <w:rtl w:val="0"/>
        </w:rPr>
        <w:t xml:space="preserve">202</w:t>
      </w: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_______________</w:t>
      </w:r>
      <w:r w:rsidDel="00000000" w:rsidR="00000000" w:rsidRPr="00000000">
        <w:rPr>
          <w:rFonts w:ascii="Arial" w:cs="Arial" w:eastAsia="Arial" w:hAnsi="Arial"/>
          <w:sz w:val="20"/>
          <w:szCs w:val="20"/>
          <w:rtl w:val="0"/>
        </w:rPr>
        <w:t xml:space="preserve">___________________________________________________</w:t>
      </w:r>
    </w:p>
    <w:p w:rsidR="00000000" w:rsidDel="00000000" w:rsidP="00000000" w:rsidRDefault="00000000" w:rsidRPr="00000000" w14:paraId="0000000E">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United Nations Office for Project Services (UNOPS) now invites bidders to submit bids in response to this tender.</w:t>
      </w:r>
    </w:p>
    <w:p w:rsidR="00000000" w:rsidDel="00000000" w:rsidP="00000000" w:rsidRDefault="00000000" w:rsidRPr="00000000" w14:paraId="00000010">
      <w:pPr>
        <w:spacing w:after="0"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tender has been posted in UNGM using the </w:t>
      </w:r>
      <w:r w:rsidDel="00000000" w:rsidR="00000000" w:rsidRPr="00000000">
        <w:rPr>
          <w:rFonts w:ascii="Arial" w:cs="Arial" w:eastAsia="Arial" w:hAnsi="Arial"/>
          <w:b w:val="1"/>
          <w:sz w:val="20"/>
          <w:szCs w:val="20"/>
          <w:rtl w:val="0"/>
        </w:rPr>
        <w:t xml:space="preserve">UNOPS eSourcing system</w:t>
      </w:r>
      <w:r w:rsidDel="00000000" w:rsidR="00000000" w:rsidRPr="00000000">
        <w:rPr>
          <w:rFonts w:ascii="Arial" w:cs="Arial" w:eastAsia="Arial" w:hAnsi="Arial"/>
          <w:sz w:val="20"/>
          <w:szCs w:val="20"/>
          <w:rtl w:val="0"/>
        </w:rPr>
        <w:t xml:space="preserve"> and further details on the tender may be accessed on this link: </w:t>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rPr>
          <w:b w:val="1"/>
          <w:highlight w:val="cyan"/>
        </w:rPr>
      </w:pPr>
      <w:hyperlink r:id="rId7">
        <w:r w:rsidDel="00000000" w:rsidR="00000000" w:rsidRPr="00000000">
          <w:rPr>
            <w:b w:val="1"/>
            <w:color w:val="1155cc"/>
            <w:highlight w:val="cyan"/>
            <w:u w:val="single"/>
            <w:rtl w:val="0"/>
          </w:rPr>
          <w:t xml:space="preserve">https://www.ungm.org/Public/Notice/135819</w:t>
        </w:r>
      </w:hyperlink>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5">
      <w:pPr>
        <w:spacing w:after="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interested vendors </w:t>
      </w:r>
      <w:r w:rsidDel="00000000" w:rsidR="00000000" w:rsidRPr="00000000">
        <w:rPr>
          <w:rFonts w:ascii="Arial" w:cs="Arial" w:eastAsia="Arial" w:hAnsi="Arial"/>
          <w:b w:val="1"/>
          <w:sz w:val="20"/>
          <w:szCs w:val="20"/>
          <w:rtl w:val="0"/>
        </w:rPr>
        <w:t xml:space="preserve">must submit bids in response to this tender using the UNOPS eSourcing system, via the UNGM portal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In order to access the full UNOPS tender details, request clarifications on the tender, and submit a bid to a tender using the system, vendors must be registered as a UNOPS vendor at the UNGM portal and be logged into UNGM.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spacing w:after="6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guidance on how to register on UNGM and submit responses to UNOPS tenders in the UNOPS eSourcing system, please refer to the user guide and other resources available at:</w:t>
      </w:r>
    </w:p>
    <w:p w:rsidR="00000000" w:rsidDel="00000000" w:rsidP="00000000" w:rsidRDefault="00000000" w:rsidRPr="00000000" w14:paraId="00000017">
      <w:pPr>
        <w:spacing w:after="280" w:line="240" w:lineRule="auto"/>
        <w:jc w:val="both"/>
        <w:rPr>
          <w:rFonts w:ascii="Arial" w:cs="Arial" w:eastAsia="Arial" w:hAnsi="Arial"/>
          <w:sz w:val="20"/>
          <w:szCs w:val="20"/>
        </w:rPr>
      </w:pPr>
      <w:hyperlink r:id="rId8">
        <w:r w:rsidDel="00000000" w:rsidR="00000000" w:rsidRPr="00000000">
          <w:rPr>
            <w:rFonts w:ascii="Arial" w:cs="Arial" w:eastAsia="Arial" w:hAnsi="Arial"/>
            <w:color w:val="0000ff"/>
            <w:sz w:val="20"/>
            <w:szCs w:val="20"/>
            <w:u w:val="single"/>
            <w:rtl w:val="0"/>
          </w:rPr>
          <w:t xml:space="preserve">https://esourcing.unops.org/#/Help/Guides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spacing w:after="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requests for clarification on this tender will only be responded if submitted through the UNOPS eSourcing system and sent before the deadline for clarifications.</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be advised that UNOPS reserves the right to amend the tender at any time. Any amendments or clarifications will be posted under the “Revisions” tab of the UNGM and eSourcing tenders. We kindly ask you to check the site before submitting your bid.</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no remuneration will be made to bidders for preparation and submission of bids.</w:t>
      </w:r>
    </w:p>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D">
      <w:pPr>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2016.1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0" w:line="240" w:lineRule="auto"/>
      <w:ind w:left="65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Notice for eSourcing Tender</w:t>
    </w:r>
    <w:r w:rsidDel="00000000" w:rsidR="00000000" w:rsidRPr="00000000">
      <w:drawing>
        <wp:anchor allowOverlap="1" behindDoc="0" distB="0" distT="0" distL="114300" distR="114300" hidden="0" layoutInCell="1" locked="0" relativeHeight="0" simplePos="0">
          <wp:simplePos x="0" y="0"/>
          <wp:positionH relativeFrom="column">
            <wp:posOffset>-495932</wp:posOffset>
          </wp:positionH>
          <wp:positionV relativeFrom="paragraph">
            <wp:posOffset>13334</wp:posOffset>
          </wp:positionV>
          <wp:extent cx="1477645" cy="264795"/>
          <wp:effectExtent b="0" l="0" r="0" t="0"/>
          <wp:wrapSquare wrapText="bothSides" distB="0" distT="0" distL="114300" distR="114300"/>
          <wp:docPr descr="Description: UNOPS_logo_2008" id="3" name="image1.jpg"/>
          <a:graphic>
            <a:graphicData uri="http://schemas.openxmlformats.org/drawingml/2006/picture">
              <pic:pic>
                <pic:nvPicPr>
                  <pic:cNvPr descr="Description: UNOPS_logo_2008" id="0" name="image1.jpg"/>
                  <pic:cNvPicPr preferRelativeResize="0"/>
                </pic:nvPicPr>
                <pic:blipFill>
                  <a:blip r:embed="rId1"/>
                  <a:srcRect b="0" l="0" r="0" t="0"/>
                  <a:stretch>
                    <a:fillRect/>
                  </a:stretch>
                </pic:blipFill>
                <pic:spPr>
                  <a:xfrm>
                    <a:off x="0" y="0"/>
                    <a:ext cx="1477645" cy="264795"/>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gm.org/Public/Notice/135819" TargetMode="External"/><Relationship Id="rId8" Type="http://schemas.openxmlformats.org/officeDocument/2006/relationships/hyperlink" Target="https://esourcing.unops.org/#/Help/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Gj2eH4mGNyo4kSkkfUMThdqfVg==">AMUW2mXe7sGsqWZhCuUnvibOhihjkHw9iVl9OeVNlquZnbdf/xlukkW8MmAfSLrYrBYG3zX2vZARHdkqKdsg97N6yFbECOxOOat28Ayz3bJYBQw1oELuBLdLigsAs3TGlwlQGe+3l9Kx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